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6BF" w14:textId="47B7C087" w:rsidR="00CB687A" w:rsidRPr="00E41771" w:rsidRDefault="006B1E31" w:rsidP="0034153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 w:rsidRPr="00E41771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INDICADORES GERENCIAIS QUANTITATIVOS</w:t>
      </w:r>
    </w:p>
    <w:p w14:paraId="623BF9CC" w14:textId="31EAE0CD" w:rsidR="006B1E31" w:rsidRPr="00E41771" w:rsidRDefault="006B1E31" w:rsidP="00341535">
      <w:pPr>
        <w:jc w:val="center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</w:p>
    <w:tbl>
      <w:tblPr>
        <w:tblStyle w:val="TabeladeLista3-nfas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092"/>
        <w:gridCol w:w="1459"/>
        <w:gridCol w:w="1620"/>
      </w:tblGrid>
      <w:tr w:rsidR="00895CDD" w:rsidRPr="00E41771" w14:paraId="6E9DEFAA" w14:textId="77777777" w:rsidTr="004F0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3" w:type="dxa"/>
            <w:tcBorders>
              <w:bottom w:val="none" w:sz="0" w:space="0" w:color="auto"/>
              <w:right w:val="none" w:sz="0" w:space="0" w:color="auto"/>
            </w:tcBorders>
            <w:shd w:val="clear" w:color="auto" w:fill="EEEEEE"/>
          </w:tcPr>
          <w:p w14:paraId="2712BEE3" w14:textId="77777777" w:rsidR="006B1E31" w:rsidRPr="004F0913" w:rsidRDefault="006B1E31" w:rsidP="004F0913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after="120"/>
              <w:ind w:left="0"/>
              <w:jc w:val="center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</w:pPr>
            <w:r w:rsidRPr="004F0913"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Pilar</w:t>
            </w:r>
          </w:p>
        </w:tc>
        <w:tc>
          <w:tcPr>
            <w:tcW w:w="3092" w:type="dxa"/>
            <w:shd w:val="clear" w:color="auto" w:fill="EEEEEE"/>
          </w:tcPr>
          <w:p w14:paraId="1531D7F2" w14:textId="77777777" w:rsidR="006B1E31" w:rsidRPr="004F0913" w:rsidRDefault="006B1E31" w:rsidP="004F0913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</w:pPr>
            <w:r w:rsidRPr="004F0913"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Descrição</w:t>
            </w:r>
          </w:p>
        </w:tc>
        <w:tc>
          <w:tcPr>
            <w:tcW w:w="1459" w:type="dxa"/>
            <w:shd w:val="clear" w:color="auto" w:fill="EEEEEE"/>
          </w:tcPr>
          <w:p w14:paraId="34360B59" w14:textId="77777777" w:rsidR="006B1E31" w:rsidRPr="004F0913" w:rsidRDefault="006B1E31" w:rsidP="004F0913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</w:pPr>
            <w:r w:rsidRPr="004F0913"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Previsto</w:t>
            </w:r>
          </w:p>
        </w:tc>
        <w:tc>
          <w:tcPr>
            <w:tcW w:w="1620" w:type="dxa"/>
            <w:shd w:val="clear" w:color="auto" w:fill="EEEEEE"/>
          </w:tcPr>
          <w:p w14:paraId="185E2429" w14:textId="77777777" w:rsidR="006B1E31" w:rsidRPr="004F0913" w:rsidRDefault="006B1E31" w:rsidP="004F0913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</w:pPr>
            <w:r w:rsidRPr="004F0913">
              <w:rPr>
                <w:rFonts w:ascii="Geomanist" w:eastAsia="Calibri" w:hAnsi="Geomanist" w:cs="Times New Roman"/>
                <w:color w:val="000000" w:themeColor="text1"/>
                <w:sz w:val="24"/>
                <w:szCs w:val="24"/>
                <w:lang w:val="pt-BR"/>
                <w14:ligatures w14:val="standardContextual"/>
              </w:rPr>
              <w:t>Realizado</w:t>
            </w:r>
          </w:p>
        </w:tc>
      </w:tr>
      <w:tr w:rsidR="00755B02" w:rsidRPr="00E41771" w14:paraId="6603BB69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3E1CDC" w14:textId="15AB68AE" w:rsidR="00755B02" w:rsidRPr="00E41771" w:rsidRDefault="00755B02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Comprometimento e apoio da alta direção</w:t>
            </w: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5E5F30D" w14:textId="282328EA" w:rsidR="00755B02" w:rsidRPr="00E41771" w:rsidRDefault="00755B02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vezes que a alta administração participou de treinamentos ou eventos relacionados à integridade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1A9E602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DE99B9D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755B02" w:rsidRPr="00E41771" w14:paraId="03A4A312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5B36ABE3" w14:textId="77777777" w:rsidR="00755B02" w:rsidRPr="00E41771" w:rsidRDefault="00755B02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5B6CFF1A" w14:textId="7B7A80B5" w:rsidR="00755B02" w:rsidRPr="00E41771" w:rsidRDefault="00755B02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comunicações da alta administração que abordam temas de ética e integridade</w:t>
            </w:r>
          </w:p>
        </w:tc>
        <w:tc>
          <w:tcPr>
            <w:tcW w:w="1459" w:type="dxa"/>
            <w:shd w:val="clear" w:color="auto" w:fill="auto"/>
          </w:tcPr>
          <w:p w14:paraId="7F8367E7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6F35F27D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755B02" w:rsidRPr="00E41771" w14:paraId="1DC9E2D3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A60394" w14:textId="77777777" w:rsidR="00755B02" w:rsidRPr="00E41771" w:rsidRDefault="00755B02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6E40355" w14:textId="3DBB0F53" w:rsidR="00755B02" w:rsidRPr="00E41771" w:rsidRDefault="00755B02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Orçamento alocado pela alta administração para atividades relacionadas à implementação e manutenção do programa de integridade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60A10F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0F735F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755B02" w:rsidRPr="00E41771" w14:paraId="32ED68ED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6BE21011" w14:textId="77777777" w:rsidR="00755B02" w:rsidRPr="00E41771" w:rsidRDefault="00755B02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5A8F4779" w14:textId="1D53B295" w:rsidR="00755B02" w:rsidRPr="00E41771" w:rsidRDefault="00755B02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Quantidade de casos de violações ao programa de integridade </w:t>
            </w:r>
            <w:r w:rsidR="00DF139A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que 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resultaram em medidas disciplinares tomadas pela alta administração</w:t>
            </w:r>
          </w:p>
        </w:tc>
        <w:tc>
          <w:tcPr>
            <w:tcW w:w="1459" w:type="dxa"/>
            <w:shd w:val="clear" w:color="auto" w:fill="auto"/>
          </w:tcPr>
          <w:p w14:paraId="45B5CAFE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6A394A89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755B02" w:rsidRPr="00E41771" w14:paraId="21AC3023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2D3B99" w14:textId="77777777" w:rsidR="00755B02" w:rsidRPr="00E41771" w:rsidRDefault="00755B02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5455AA" w14:textId="4E3299FC" w:rsidR="00755B02" w:rsidRPr="00E41771" w:rsidRDefault="00755B02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instrumentos normativos sobre integridade aprovados pela alta administração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6748FA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4678027" w14:textId="77777777" w:rsidR="00755B02" w:rsidRPr="00E41771" w:rsidRDefault="00755B02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573F73" w:rsidRPr="00E41771" w14:paraId="493B8786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3C60D3FC" w14:textId="5F1B1478" w:rsidR="00573F73" w:rsidRPr="00E41771" w:rsidRDefault="00573F73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Avaliação de riscos</w:t>
            </w:r>
          </w:p>
        </w:tc>
        <w:tc>
          <w:tcPr>
            <w:tcW w:w="3092" w:type="dxa"/>
            <w:shd w:val="clear" w:color="auto" w:fill="auto"/>
          </w:tcPr>
          <w:p w14:paraId="69B1498E" w14:textId="2D5CEE17" w:rsidR="00573F73" w:rsidRPr="00E41771" w:rsidRDefault="00573F73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Identificação e avaliação de riscos no setor XXX</w:t>
            </w:r>
          </w:p>
        </w:tc>
        <w:tc>
          <w:tcPr>
            <w:tcW w:w="1459" w:type="dxa"/>
            <w:shd w:val="clear" w:color="auto" w:fill="auto"/>
          </w:tcPr>
          <w:p w14:paraId="515FB2B6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5F57E00F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573F73" w:rsidRPr="00E41771" w14:paraId="03BA5028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2D6FE2" w14:textId="77777777" w:rsidR="00573F73" w:rsidRPr="00E41771" w:rsidRDefault="00573F73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2A0147" w14:textId="199D2E12" w:rsidR="00573F73" w:rsidRPr="00E41771" w:rsidRDefault="00573F73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% de riscos identificados que foram avaliados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B7FC1E8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3EB533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573F73" w:rsidRPr="00E41771" w14:paraId="10B9E4C6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7FC3A902" w14:textId="77777777" w:rsidR="00573F73" w:rsidRPr="00E41771" w:rsidRDefault="00573F73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1037B05C" w14:textId="5EE17A03" w:rsidR="00573F73" w:rsidRPr="00E41771" w:rsidRDefault="00573F73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Revisão de risco do setor XXX</w:t>
            </w:r>
          </w:p>
        </w:tc>
        <w:tc>
          <w:tcPr>
            <w:tcW w:w="1459" w:type="dxa"/>
            <w:shd w:val="clear" w:color="auto" w:fill="auto"/>
          </w:tcPr>
          <w:p w14:paraId="43756C00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0ABD06C8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52B3CE53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FB27E0" w14:textId="4EFB63A6" w:rsidR="003B209A" w:rsidRPr="00E41771" w:rsidRDefault="003B209A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Código de conduta e políticas </w:t>
            </w: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355F5E" w14:textId="69D903C8" w:rsidR="003B209A" w:rsidRPr="00E41771" w:rsidRDefault="003B209A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Revisões realizadas no Código de Conduta 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B986C51" w14:textId="77777777" w:rsidR="003B209A" w:rsidRPr="00E41771" w:rsidRDefault="003B209A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1805118" w14:textId="77777777" w:rsidR="003B209A" w:rsidRPr="00E41771" w:rsidRDefault="003B209A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2625399D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7F8CEF42" w14:textId="77777777" w:rsidR="003B209A" w:rsidRPr="00E41771" w:rsidRDefault="003B209A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5CC3BD2C" w14:textId="69AD2E22" w:rsidR="003B209A" w:rsidRPr="00E41771" w:rsidRDefault="003B209A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% de colaboradores que concluíram o treinamento obrigatório sobre o Código de Conduta</w:t>
            </w:r>
          </w:p>
        </w:tc>
        <w:tc>
          <w:tcPr>
            <w:tcW w:w="1459" w:type="dxa"/>
            <w:shd w:val="clear" w:color="auto" w:fill="auto"/>
          </w:tcPr>
          <w:p w14:paraId="5C3D271C" w14:textId="77777777" w:rsidR="003B209A" w:rsidRPr="00E41771" w:rsidRDefault="003B209A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31124D1E" w14:textId="77777777" w:rsidR="003B209A" w:rsidRPr="00E41771" w:rsidRDefault="003B209A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7E2B8A03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DCC9B4D" w14:textId="77777777" w:rsidR="003B209A" w:rsidRPr="00E41771" w:rsidRDefault="003B209A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D6EE23E" w14:textId="49BAB26D" w:rsidR="003B209A" w:rsidRPr="00E41771" w:rsidRDefault="003B209A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políticas específicas de integridade</w:t>
            </w:r>
            <w:r w:rsidR="00DF139A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desenvolvidas e implementadas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EA3560" w14:textId="77777777" w:rsidR="003B209A" w:rsidRPr="00E41771" w:rsidRDefault="003B209A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10E56F9" w14:textId="77777777" w:rsidR="003B209A" w:rsidRPr="00E41771" w:rsidRDefault="003B209A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53734179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000F1601" w14:textId="77777777" w:rsidR="003B209A" w:rsidRPr="00E41771" w:rsidRDefault="003B209A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5DCBE300" w14:textId="27E7DB99" w:rsidR="003B209A" w:rsidRPr="00E41771" w:rsidRDefault="003B209A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% de colaboradores que afirmaram estar cientes das políticas de integridade da organização em uma pesquisa recente</w:t>
            </w:r>
          </w:p>
        </w:tc>
        <w:tc>
          <w:tcPr>
            <w:tcW w:w="1459" w:type="dxa"/>
            <w:shd w:val="clear" w:color="auto" w:fill="auto"/>
          </w:tcPr>
          <w:p w14:paraId="71D07182" w14:textId="77777777" w:rsidR="003B209A" w:rsidRPr="00E41771" w:rsidRDefault="003B209A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649F6F07" w14:textId="77777777" w:rsidR="003B209A" w:rsidRPr="00E41771" w:rsidRDefault="003B209A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573F73" w:rsidRPr="00E41771" w14:paraId="299BB2E1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8F9D87" w14:textId="7021454C" w:rsidR="00573F73" w:rsidRPr="00E41771" w:rsidRDefault="00573F73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Controles Internos</w:t>
            </w: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D9B2A66" w14:textId="43B55D85" w:rsidR="00573F73" w:rsidRPr="00E41771" w:rsidRDefault="00573F73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% de implementação de controles internos para mitigar os riscos identificados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B6432E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F3BF110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573F73" w:rsidRPr="00E41771" w14:paraId="3B9FA494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34CDCC2F" w14:textId="77777777" w:rsidR="00573F73" w:rsidRPr="00E41771" w:rsidRDefault="00573F73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561F027C" w14:textId="1F918C1A" w:rsidR="00573F73" w:rsidRPr="00E41771" w:rsidRDefault="00573F73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Quantidade de </w:t>
            </w:r>
            <w:proofErr w:type="spellStart"/>
            <w:r w:rsidRPr="00E41771">
              <w:rPr>
                <w:rFonts w:ascii="Geomanist" w:eastAsia="Calibri" w:hAnsi="Geomanist" w:cs="Times New Roman"/>
                <w:i/>
                <w:iCs/>
                <w:sz w:val="24"/>
                <w:szCs w:val="24"/>
                <w:lang w:val="pt-BR"/>
              </w:rPr>
              <w:t>Due</w:t>
            </w:r>
            <w:proofErr w:type="spellEnd"/>
            <w:r w:rsidRPr="00E41771">
              <w:rPr>
                <w:rFonts w:ascii="Geomanist" w:eastAsia="Calibri" w:hAnsi="Geomanist" w:cs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41771">
              <w:rPr>
                <w:rFonts w:ascii="Geomanist" w:eastAsia="Calibri" w:hAnsi="Geomanist" w:cs="Times New Roman"/>
                <w:i/>
                <w:iCs/>
                <w:sz w:val="24"/>
                <w:szCs w:val="24"/>
                <w:lang w:val="pt-BR"/>
              </w:rPr>
              <w:t>diligence</w:t>
            </w:r>
            <w:proofErr w:type="spellEnd"/>
            <w:r w:rsidRPr="00E41771">
              <w:rPr>
                <w:rFonts w:ascii="Geomanist" w:eastAsia="Calibri" w:hAnsi="Geomanist" w:cs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(pessoas físicas e jurídicas)</w:t>
            </w:r>
            <w:r w:rsidRPr="00E41771">
              <w:rPr>
                <w:rFonts w:ascii="Geomanist" w:eastAsia="Calibri" w:hAnsi="Geomanist" w:cs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realizadas</w:t>
            </w:r>
          </w:p>
        </w:tc>
        <w:tc>
          <w:tcPr>
            <w:tcW w:w="1459" w:type="dxa"/>
            <w:shd w:val="clear" w:color="auto" w:fill="auto"/>
          </w:tcPr>
          <w:p w14:paraId="7EAF3FF6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2435B64E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573F73" w:rsidRPr="00E41771" w14:paraId="40DA7EC8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51DC1CC" w14:textId="77777777" w:rsidR="00573F73" w:rsidRPr="00E41771" w:rsidRDefault="00573F73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1A09A1B" w14:textId="3C442A8F" w:rsidR="00573F73" w:rsidRPr="00E41771" w:rsidRDefault="00573F73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incidentes de não conformidade</w:t>
            </w:r>
            <w:r w:rsidR="00DF139A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s</w:t>
            </w:r>
            <w:r w:rsidR="0069636C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 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registrados em relação aos controles internos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944E655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4533A0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573F73" w:rsidRPr="00E41771" w14:paraId="607D4B18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68E48EE3" w14:textId="77777777" w:rsidR="00573F73" w:rsidRPr="00E41771" w:rsidRDefault="00573F73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234A83D1" w14:textId="4F3BC02C" w:rsidR="00573F73" w:rsidRPr="00E41771" w:rsidRDefault="00573F73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ações corretivas adotadas para fortalecer os controles internos identificados como frágeis</w:t>
            </w:r>
          </w:p>
        </w:tc>
        <w:tc>
          <w:tcPr>
            <w:tcW w:w="1459" w:type="dxa"/>
            <w:shd w:val="clear" w:color="auto" w:fill="auto"/>
          </w:tcPr>
          <w:p w14:paraId="7CAFAB3C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7A49137B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573F73" w:rsidRPr="00E41771" w14:paraId="508D9717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74FF0F" w14:textId="77777777" w:rsidR="00573F73" w:rsidRPr="00E41771" w:rsidRDefault="00573F73" w:rsidP="00A8059D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769D338" w14:textId="375C4222" w:rsidR="00573F73" w:rsidRPr="00E41771" w:rsidRDefault="00573F73" w:rsidP="00755B02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% satisfação dos funcionários em relação à eficácia dos controles internos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1D8CCFC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53C9785" w14:textId="77777777" w:rsidR="00573F73" w:rsidRPr="00E41771" w:rsidRDefault="00573F73" w:rsidP="006B1E31">
            <w:pPr>
              <w:pStyle w:val="PargrafodaLista"/>
              <w:tabs>
                <w:tab w:val="left" w:pos="1134"/>
              </w:tabs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895CDD" w:rsidRPr="00E41771" w14:paraId="7EE96CFB" w14:textId="77777777" w:rsidTr="004F0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 w:val="restart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C00447E" w14:textId="55FE50E3" w:rsidR="006B1E31" w:rsidRPr="00E41771" w:rsidRDefault="00895CDD" w:rsidP="006B1E31">
            <w:pPr>
              <w:tabs>
                <w:tab w:val="left" w:pos="1134"/>
              </w:tabs>
              <w:spacing w:before="120" w:after="12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Co</w:t>
            </w:r>
            <w:r w:rsidR="00A8059D"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m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u</w:t>
            </w:r>
            <w:r w:rsidR="00A8059D"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n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icação e Treinamento</w:t>
            </w:r>
          </w:p>
        </w:tc>
        <w:tc>
          <w:tcPr>
            <w:tcW w:w="3092" w:type="dxa"/>
            <w:shd w:val="clear" w:color="auto" w:fill="auto"/>
          </w:tcPr>
          <w:p w14:paraId="715079CD" w14:textId="77777777" w:rsidR="006B1E31" w:rsidRPr="00E41771" w:rsidRDefault="006B1E31" w:rsidP="006B1E31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Quantidade de servidores treinados (listar quantidade por setor/departamento)</w:t>
            </w:r>
          </w:p>
        </w:tc>
        <w:tc>
          <w:tcPr>
            <w:tcW w:w="1459" w:type="dxa"/>
            <w:shd w:val="clear" w:color="auto" w:fill="auto"/>
          </w:tcPr>
          <w:p w14:paraId="375D9A1F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620" w:type="dxa"/>
            <w:shd w:val="clear" w:color="auto" w:fill="auto"/>
          </w:tcPr>
          <w:p w14:paraId="1CEE596D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895CDD" w:rsidRPr="00E41771" w14:paraId="4B32532E" w14:textId="77777777" w:rsidTr="004F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06D6D6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D6CC11D" w14:textId="77777777" w:rsidR="006B1E31" w:rsidRPr="00E41771" w:rsidRDefault="006B1E31" w:rsidP="006B1E31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% de fornecedores e prestadores de serviços treinados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0392232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E19588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895CDD" w:rsidRPr="00E41771" w14:paraId="7038DF85" w14:textId="77777777" w:rsidTr="004F0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64ADDE34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3092" w:type="dxa"/>
            <w:shd w:val="clear" w:color="auto" w:fill="auto"/>
          </w:tcPr>
          <w:p w14:paraId="7D327091" w14:textId="77777777" w:rsidR="006B1E31" w:rsidRPr="00E41771" w:rsidRDefault="006B1E31" w:rsidP="006B1E31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Quantidade de horas investidas pela Comissão de Ética</w:t>
            </w:r>
          </w:p>
        </w:tc>
        <w:tc>
          <w:tcPr>
            <w:tcW w:w="1459" w:type="dxa"/>
            <w:shd w:val="clear" w:color="auto" w:fill="auto"/>
          </w:tcPr>
          <w:p w14:paraId="1315584D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620" w:type="dxa"/>
            <w:shd w:val="clear" w:color="auto" w:fill="auto"/>
          </w:tcPr>
          <w:p w14:paraId="34E92B8F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895CDD" w:rsidRPr="00E41771" w14:paraId="475EEC5E" w14:textId="77777777" w:rsidTr="004F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E3D199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ECC428" w14:textId="77777777" w:rsidR="006B1E31" w:rsidRPr="00E41771" w:rsidRDefault="006B1E31" w:rsidP="006B1E31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Elaboração de planejamento de treinamento e comunicação anual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C2E09BF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38CEB6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895CDD" w:rsidRPr="00E41771" w14:paraId="5B4A20DF" w14:textId="77777777" w:rsidTr="004F0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1F9E9A3B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3092" w:type="dxa"/>
            <w:shd w:val="clear" w:color="auto" w:fill="auto"/>
          </w:tcPr>
          <w:p w14:paraId="228F993C" w14:textId="77777777" w:rsidR="006B1E31" w:rsidRPr="00E41771" w:rsidRDefault="006B1E31" w:rsidP="006B1E31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% de retenção de conhecimento (aplicação de testes)</w:t>
            </w:r>
          </w:p>
        </w:tc>
        <w:tc>
          <w:tcPr>
            <w:tcW w:w="1459" w:type="dxa"/>
            <w:shd w:val="clear" w:color="auto" w:fill="auto"/>
          </w:tcPr>
          <w:p w14:paraId="79F6576E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620" w:type="dxa"/>
            <w:shd w:val="clear" w:color="auto" w:fill="auto"/>
          </w:tcPr>
          <w:p w14:paraId="7A84FF7C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895CDD" w:rsidRPr="00E41771" w14:paraId="27E054D1" w14:textId="77777777" w:rsidTr="004F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DBE959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093C91C" w14:textId="77777777" w:rsidR="006B1E31" w:rsidRPr="00E41771" w:rsidRDefault="006B1E31" w:rsidP="006B1E31">
            <w:pPr>
              <w:pStyle w:val="PargrafodaLista"/>
              <w:widowControl/>
              <w:tabs>
                <w:tab w:val="left" w:pos="0"/>
              </w:tabs>
              <w:autoSpaceDE/>
              <w:autoSpaceDN/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  <w:t>Quantidade de campanhas de comunicação para promover a integridade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96FF7A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BD3D007" w14:textId="77777777" w:rsidR="006B1E31" w:rsidRPr="00E41771" w:rsidRDefault="006B1E31" w:rsidP="00F260A8">
            <w:pPr>
              <w:pStyle w:val="PargrafodaLista"/>
              <w:widowControl/>
              <w:tabs>
                <w:tab w:val="left" w:pos="1134"/>
              </w:tabs>
              <w:autoSpaceDE/>
              <w:autoSpaceDN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  <w14:ligatures w14:val="standardContextual"/>
              </w:rPr>
            </w:pPr>
          </w:p>
        </w:tc>
      </w:tr>
      <w:tr w:rsidR="00E41771" w:rsidRPr="00E41771" w14:paraId="69820C4A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231D091C" w14:textId="41315781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Canal de Denúncia</w:t>
            </w:r>
          </w:p>
        </w:tc>
        <w:tc>
          <w:tcPr>
            <w:tcW w:w="3092" w:type="dxa"/>
            <w:shd w:val="clear" w:color="auto" w:fill="auto"/>
          </w:tcPr>
          <w:p w14:paraId="2BF34C71" w14:textId="25B0330B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denúncias recebidas</w:t>
            </w:r>
          </w:p>
        </w:tc>
        <w:tc>
          <w:tcPr>
            <w:tcW w:w="1459" w:type="dxa"/>
            <w:shd w:val="clear" w:color="auto" w:fill="auto"/>
          </w:tcPr>
          <w:p w14:paraId="2FC859A7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342423E6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E41771" w:rsidRPr="00E41771" w14:paraId="1B3C9602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1B062F" w14:textId="77777777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C92EF0" w14:textId="10E48D4F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Quantidade de denúncias recebidas de forma anônima 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B1A7C50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1FDBB6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E41771" w:rsidRPr="00E41771" w14:paraId="30A401A3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2783C4EC" w14:textId="77777777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05264F8E" w14:textId="1DC6CA1F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% denúncias sem possuir crit</w:t>
            </w:r>
            <w:r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é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rios mínimos de admissibilidade</w:t>
            </w:r>
          </w:p>
        </w:tc>
        <w:tc>
          <w:tcPr>
            <w:tcW w:w="1459" w:type="dxa"/>
            <w:shd w:val="clear" w:color="auto" w:fill="auto"/>
          </w:tcPr>
          <w:p w14:paraId="29C6A872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4538D72F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E41771" w:rsidRPr="00E41771" w14:paraId="42A3C646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7890F8" w14:textId="77777777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75E597A" w14:textId="137DF879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Tempo médio de resposta aos denunciantes após o recebimento da denúncia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9B7FEE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D878270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E41771" w:rsidRPr="00E41771" w14:paraId="65CF31E9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27674F40" w14:textId="77777777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415821C4" w14:textId="42483006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melhorias implementadas com base nas denúncias recebidas</w:t>
            </w:r>
          </w:p>
        </w:tc>
        <w:tc>
          <w:tcPr>
            <w:tcW w:w="1459" w:type="dxa"/>
            <w:shd w:val="clear" w:color="auto" w:fill="auto"/>
          </w:tcPr>
          <w:p w14:paraId="6D143C09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3C500B53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86961" w:rsidRPr="00E41771" w14:paraId="5554EEB6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537DA5" w14:textId="52EF3CCA" w:rsidR="00386961" w:rsidRPr="00E41771" w:rsidRDefault="00386961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Investigações Interna</w:t>
            </w: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07F223" w14:textId="09BF8C7C" w:rsidR="00386961" w:rsidRPr="00E41771" w:rsidRDefault="0038696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relatórios de investigação de denúncias concluídos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0E128B1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8E2F16F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86961" w:rsidRPr="00E41771" w14:paraId="239BF9A3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5C4AF51D" w14:textId="77777777" w:rsidR="00386961" w:rsidRPr="00E41771" w:rsidRDefault="00386961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42AA40A3" w14:textId="0F0F94BB" w:rsidR="00386961" w:rsidRPr="00E41771" w:rsidRDefault="0038696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% denúncias investigadas em relação ao total de denúncias recebidas</w:t>
            </w:r>
          </w:p>
        </w:tc>
        <w:tc>
          <w:tcPr>
            <w:tcW w:w="1459" w:type="dxa"/>
            <w:shd w:val="clear" w:color="auto" w:fill="auto"/>
          </w:tcPr>
          <w:p w14:paraId="187E901F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4A6BC61C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86961" w:rsidRPr="00E41771" w14:paraId="39E2E0B1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3BB629" w14:textId="77777777" w:rsidR="00386961" w:rsidRPr="00E41771" w:rsidRDefault="00386961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C80CFF" w14:textId="2E2912DC" w:rsidR="00386961" w:rsidRPr="00E41771" w:rsidRDefault="0038696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% conclusão das investigações no prazo estabelecido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A78520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1AB0B72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E41771" w:rsidRPr="00E41771" w14:paraId="49C70600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7D1D78BC" w14:textId="77777777" w:rsidR="00E41771" w:rsidRPr="00E41771" w:rsidRDefault="00E41771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6EADC83E" w14:textId="6667406D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denúncias encaminhadas para as autoridades competentes para processamento legal</w:t>
            </w:r>
          </w:p>
        </w:tc>
        <w:tc>
          <w:tcPr>
            <w:tcW w:w="1459" w:type="dxa"/>
            <w:shd w:val="clear" w:color="auto" w:fill="auto"/>
          </w:tcPr>
          <w:p w14:paraId="1BE7EDC8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2B99E3DB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E41771" w:rsidRPr="00E41771" w14:paraId="4D6A789C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757BAC" w14:textId="77777777" w:rsidR="00E41771" w:rsidRPr="00E41771" w:rsidRDefault="00E41771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166A13" w14:textId="6887D143" w:rsidR="00E4177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censura ética aplicada (afronta do Código e políticas)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0F026A7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07C703" w14:textId="77777777" w:rsidR="00E41771" w:rsidRPr="00E41771" w:rsidRDefault="00E4177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86961" w:rsidRPr="00E41771" w14:paraId="3B292D24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198389B5" w14:textId="77777777" w:rsidR="00386961" w:rsidRPr="00E41771" w:rsidRDefault="00386961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66469275" w14:textId="48EC82D4" w:rsidR="00386961" w:rsidRPr="00E41771" w:rsidRDefault="00E4177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processos disciplinares instaurados com base nas investigações</w:t>
            </w:r>
          </w:p>
        </w:tc>
        <w:tc>
          <w:tcPr>
            <w:tcW w:w="1459" w:type="dxa"/>
            <w:shd w:val="clear" w:color="auto" w:fill="auto"/>
          </w:tcPr>
          <w:p w14:paraId="3C6D8B10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517CC89E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86961" w:rsidRPr="00E41771" w14:paraId="02119C3C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2165E0" w14:textId="77777777" w:rsidR="00386961" w:rsidRPr="00E41771" w:rsidRDefault="00386961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74E207C" w14:textId="31423ECF" w:rsidR="00386961" w:rsidRPr="00E41771" w:rsidRDefault="00386961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 xml:space="preserve">Quantidade de sanções aplicadas (demais </w:t>
            </w: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lastRenderedPageBreak/>
              <w:t>penalidades)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411448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B3E2D4" w14:textId="77777777" w:rsidR="00386961" w:rsidRPr="00E41771" w:rsidRDefault="00386961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6E4C723F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 w:val="restart"/>
            <w:tcBorders>
              <w:right w:val="none" w:sz="0" w:space="0" w:color="auto"/>
            </w:tcBorders>
            <w:shd w:val="clear" w:color="auto" w:fill="auto"/>
          </w:tcPr>
          <w:p w14:paraId="5192DCA3" w14:textId="4C5E8AC3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Monitoramento contínuo</w:t>
            </w:r>
          </w:p>
        </w:tc>
        <w:tc>
          <w:tcPr>
            <w:tcW w:w="3092" w:type="dxa"/>
            <w:shd w:val="clear" w:color="auto" w:fill="auto"/>
          </w:tcPr>
          <w:p w14:paraId="0A274D6F" w14:textId="221F852B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sugestões de melhoria relacionadas à integridade recebidas dos servidores</w:t>
            </w:r>
          </w:p>
        </w:tc>
        <w:tc>
          <w:tcPr>
            <w:tcW w:w="1459" w:type="dxa"/>
            <w:shd w:val="clear" w:color="auto" w:fill="auto"/>
          </w:tcPr>
          <w:p w14:paraId="20D2443D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3D909261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2B7DF859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B14E62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918EE0D" w14:textId="2E4487DB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sugestões de melhoria relacionadas à integridade recebidas das demais partes (fornecedores e prestadores de serviço)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714A81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441248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15ED6414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1333C892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44A23459" w14:textId="161CB01B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sugestões de melhoria  implementadas</w:t>
            </w:r>
          </w:p>
        </w:tc>
        <w:tc>
          <w:tcPr>
            <w:tcW w:w="1459" w:type="dxa"/>
            <w:shd w:val="clear" w:color="auto" w:fill="auto"/>
          </w:tcPr>
          <w:p w14:paraId="1DBF13B9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46646E6F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33508BF5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4B47D6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0FA799" w14:textId="6EFD2EDB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casos de boas práticas de integridade documentados e compartilhados internamente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9D5DAB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1F2EBA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7CF75815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0984DB29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48D8730F" w14:textId="7B4B80D3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relatórios de acompanhamento emitidos pela Comissão de Ética</w:t>
            </w:r>
          </w:p>
        </w:tc>
        <w:tc>
          <w:tcPr>
            <w:tcW w:w="1459" w:type="dxa"/>
            <w:shd w:val="clear" w:color="auto" w:fill="auto"/>
          </w:tcPr>
          <w:p w14:paraId="32C2E503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79D86067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7E17F126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C68642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0193785" w14:textId="3E2194AA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ações de melhoria identificadas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2739CDF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55C94A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3AECAFBE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58705AB0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6953F810" w14:textId="265D5040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ações de melhoria implementadas</w:t>
            </w:r>
          </w:p>
        </w:tc>
        <w:tc>
          <w:tcPr>
            <w:tcW w:w="1459" w:type="dxa"/>
            <w:shd w:val="clear" w:color="auto" w:fill="auto"/>
          </w:tcPr>
          <w:p w14:paraId="55606DC1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6F5F6D30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01C44801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881E1D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F7F5D6" w14:textId="41F72648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auditorias internas realizadas para avaliar a eficácia dos controles internos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89EC82B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71E0A7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483E1A27" w14:textId="77777777" w:rsidTr="00B841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right w:val="none" w:sz="0" w:space="0" w:color="auto"/>
            </w:tcBorders>
            <w:shd w:val="clear" w:color="auto" w:fill="auto"/>
          </w:tcPr>
          <w:p w14:paraId="002A4470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shd w:val="clear" w:color="auto" w:fill="auto"/>
          </w:tcPr>
          <w:p w14:paraId="709032A2" w14:textId="0710B873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Quantidade de recomendações emitidas pela auditoria interna</w:t>
            </w:r>
          </w:p>
        </w:tc>
        <w:tc>
          <w:tcPr>
            <w:tcW w:w="1459" w:type="dxa"/>
            <w:shd w:val="clear" w:color="auto" w:fill="auto"/>
          </w:tcPr>
          <w:p w14:paraId="66F368A9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230314B5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  <w:tr w:rsidR="003B209A" w:rsidRPr="00E41771" w14:paraId="036E35F7" w14:textId="77777777" w:rsidTr="00B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68F1D9" w14:textId="77777777" w:rsidR="003B209A" w:rsidRPr="00E41771" w:rsidRDefault="003B209A" w:rsidP="00895CDD">
            <w:pPr>
              <w:tabs>
                <w:tab w:val="left" w:pos="0"/>
              </w:tabs>
              <w:spacing w:before="120" w:after="120"/>
              <w:jc w:val="both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3092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12EBAC" w14:textId="4A085225" w:rsidR="003B209A" w:rsidRPr="00E41771" w:rsidRDefault="003B209A" w:rsidP="00895CDD">
            <w:pPr>
              <w:pStyle w:val="PargrafodaLista"/>
              <w:tabs>
                <w:tab w:val="left" w:pos="0"/>
              </w:tabs>
              <w:spacing w:before="120" w:after="12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  <w:r w:rsidRPr="00E41771"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  <w:t>Revisões realizadas no Programa de Integridade</w:t>
            </w:r>
          </w:p>
        </w:tc>
        <w:tc>
          <w:tcPr>
            <w:tcW w:w="145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6E7F728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0192EC" w14:textId="77777777" w:rsidR="003B209A" w:rsidRPr="00E41771" w:rsidRDefault="003B209A" w:rsidP="00895CDD">
            <w:pPr>
              <w:pStyle w:val="PargrafodaLista"/>
              <w:tabs>
                <w:tab w:val="left" w:pos="1134"/>
              </w:tabs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manist" w:eastAsia="Calibri" w:hAnsi="Geomanist" w:cs="Times New Roman"/>
                <w:sz w:val="24"/>
                <w:szCs w:val="24"/>
                <w:lang w:val="pt-BR"/>
              </w:rPr>
            </w:pPr>
          </w:p>
        </w:tc>
      </w:tr>
    </w:tbl>
    <w:p w14:paraId="1ABEDC36" w14:textId="579ED8B8" w:rsidR="006B1E31" w:rsidRPr="00E41771" w:rsidRDefault="00E41771" w:rsidP="00E41771">
      <w:pPr>
        <w:jc w:val="both"/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</w:pP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Observação: alguns indicadores são difíceis de serem previstos, neste caso recomenda-se apenas a contabilização para demonstrar</w:t>
      </w:r>
      <w:r w:rsidR="007E36FF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,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 </w:t>
      </w:r>
      <w:r w:rsidR="007E36FF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 xml:space="preserve">a longo prazo, </w:t>
      </w:r>
      <w:r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o funcionamento e evolução do Programa</w:t>
      </w:r>
      <w:r w:rsidR="00DB78CC">
        <w:rPr>
          <w:rFonts w:ascii="Geomanist" w:eastAsia="Times New Roman" w:hAnsi="Geomanist" w:cs="Arial"/>
          <w:b/>
          <w:kern w:val="0"/>
          <w:sz w:val="24"/>
          <w:szCs w:val="24"/>
          <w:lang w:eastAsia="pt-BR"/>
          <w14:ligatures w14:val="none"/>
        </w:rPr>
        <w:t>.</w:t>
      </w:r>
    </w:p>
    <w:p w14:paraId="26E4987F" w14:textId="77777777" w:rsidR="00CB687A" w:rsidRPr="00E41771" w:rsidRDefault="00CB687A" w:rsidP="00CB687A">
      <w:pPr>
        <w:jc w:val="both"/>
        <w:rPr>
          <w:rFonts w:ascii="Geomanist" w:eastAsia="Times New Roman" w:hAnsi="Geomanist" w:cs="Arial"/>
          <w:bCs/>
          <w:kern w:val="0"/>
          <w:sz w:val="24"/>
          <w:szCs w:val="24"/>
          <w:lang w:eastAsia="pt-BR"/>
          <w14:ligatures w14:val="none"/>
        </w:rPr>
      </w:pPr>
    </w:p>
    <w:p w14:paraId="02FD5E34" w14:textId="7B60AD79" w:rsidR="00AF3D73" w:rsidRPr="00E41771" w:rsidRDefault="00AF3D73" w:rsidP="00CB687A">
      <w:pPr>
        <w:jc w:val="both"/>
        <w:rPr>
          <w:bCs/>
        </w:rPr>
      </w:pPr>
    </w:p>
    <w:sectPr w:rsidR="00AF3D73" w:rsidRPr="00E41771" w:rsidSect="00BE1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887F" w14:textId="77777777" w:rsidR="00C07D39" w:rsidRDefault="00C07D39" w:rsidP="00F94EB2">
      <w:pPr>
        <w:spacing w:after="0" w:line="240" w:lineRule="auto"/>
      </w:pPr>
      <w:r>
        <w:separator/>
      </w:r>
    </w:p>
  </w:endnote>
  <w:endnote w:type="continuationSeparator" w:id="0">
    <w:p w14:paraId="1CB28A52" w14:textId="77777777" w:rsidR="00C07D39" w:rsidRDefault="00C07D39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BE43" w14:textId="77777777" w:rsidR="004A608E" w:rsidRDefault="004A60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7F77" w14:textId="04E62517" w:rsidR="00F94EB2" w:rsidRPr="00F94EB2" w:rsidRDefault="00343064" w:rsidP="00F94EB2">
    <w:pPr>
      <w:pStyle w:val="Rodap"/>
      <w:rPr>
        <w:rFonts w:ascii="Montserrat" w:hAnsi="Montserrat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331A2B5D" wp14:editId="6E430AE1">
          <wp:simplePos x="0" y="0"/>
          <wp:positionH relativeFrom="column">
            <wp:posOffset>3824605</wp:posOffset>
          </wp:positionH>
          <wp:positionV relativeFrom="paragraph">
            <wp:posOffset>-720725</wp:posOffset>
          </wp:positionV>
          <wp:extent cx="2329837" cy="621030"/>
          <wp:effectExtent l="0" t="0" r="0" b="7620"/>
          <wp:wrapNone/>
          <wp:docPr id="208" name="Imagem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34C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7DE707" wp14:editId="1C786B89">
              <wp:simplePos x="0" y="0"/>
              <wp:positionH relativeFrom="margin">
                <wp:posOffset>1558290</wp:posOffset>
              </wp:positionH>
              <wp:positionV relativeFrom="paragraph">
                <wp:posOffset>-682625</wp:posOffset>
              </wp:positionV>
              <wp:extent cx="2000250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873C1" w14:textId="3A3DA7F9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14DD6086" w14:textId="255AE55D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46882E85" w14:textId="77777777" w:rsidR="00D3534C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5C9134A" w14:textId="110930A5" w:rsidR="00263732" w:rsidRPr="00263732" w:rsidRDefault="00D3534C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="00263732"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1A1CDE83" w14:textId="670DF432" w:rsidR="00263732" w:rsidRPr="00263732" w:rsidRDefault="00263732" w:rsidP="00FE5C5A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7DE70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7pt;margin-top:-53.75pt;width:157.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" filled="f" stroked="f">
              <v:textbox>
                <w:txbxContent>
                  <w:p w14:paraId="12D873C1" w14:textId="3A3DA7F9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14DD6086" w14:textId="255AE55D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46882E85" w14:textId="77777777" w:rsidR="00D3534C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5C9134A" w14:textId="110930A5" w:rsidR="00263732" w:rsidRPr="00263732" w:rsidRDefault="00D3534C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="00263732"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1A1CDE83" w14:textId="670DF432" w:rsidR="00263732" w:rsidRPr="00263732" w:rsidRDefault="00263732" w:rsidP="00FE5C5A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5C5A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E4980BC" wp14:editId="700B5982">
          <wp:simplePos x="0" y="0"/>
          <wp:positionH relativeFrom="column">
            <wp:posOffset>3688020</wp:posOffset>
          </wp:positionH>
          <wp:positionV relativeFrom="paragraph">
            <wp:posOffset>-672465</wp:posOffset>
          </wp:positionV>
          <wp:extent cx="201930" cy="257175"/>
          <wp:effectExtent l="0" t="0" r="0" b="0"/>
          <wp:wrapNone/>
          <wp:docPr id="209" name="Imagem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5408" behindDoc="1" locked="0" layoutInCell="1" allowOverlap="1" wp14:anchorId="05D9AA7C" wp14:editId="026A906F">
          <wp:simplePos x="0" y="0"/>
          <wp:positionH relativeFrom="column">
            <wp:posOffset>3532398</wp:posOffset>
          </wp:positionH>
          <wp:positionV relativeFrom="paragraph">
            <wp:posOffset>-656219</wp:posOffset>
          </wp:positionV>
          <wp:extent cx="93345" cy="680720"/>
          <wp:effectExtent l="0" t="0" r="1905" b="0"/>
          <wp:wrapNone/>
          <wp:docPr id="210" name="Imagem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>
      <w:rPr>
        <w:rFonts w:ascii="Arial" w:hAnsi="Arial" w:cs="Arial"/>
        <w:noProof/>
        <w:color w:val="1B335D"/>
        <w:sz w:val="18"/>
        <w:szCs w:val="18"/>
        <w:lang w:eastAsia="pt-BR"/>
      </w:rPr>
      <w:drawing>
        <wp:anchor distT="0" distB="0" distL="114300" distR="114300" simplePos="0" relativeHeight="251667456" behindDoc="1" locked="0" layoutInCell="1" allowOverlap="1" wp14:anchorId="58F42004" wp14:editId="05688753">
          <wp:simplePos x="0" y="0"/>
          <wp:positionH relativeFrom="column">
            <wp:posOffset>1480701</wp:posOffset>
          </wp:positionH>
          <wp:positionV relativeFrom="paragraph">
            <wp:posOffset>-642476</wp:posOffset>
          </wp:positionV>
          <wp:extent cx="93345" cy="680720"/>
          <wp:effectExtent l="0" t="0" r="1905" b="0"/>
          <wp:wrapNone/>
          <wp:docPr id="211" name="Imagem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C5A" w:rsidRPr="000B6457">
      <w:rPr>
        <w:rFonts w:ascii="Montserrat" w:hAnsi="Montserrat"/>
        <w:caps/>
        <w:noProof/>
        <w:color w:val="4F81BD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6CAE787" wp14:editId="7FE63F9D">
              <wp:simplePos x="0" y="0"/>
              <wp:positionH relativeFrom="column">
                <wp:posOffset>-527685</wp:posOffset>
              </wp:positionH>
              <wp:positionV relativeFrom="paragraph">
                <wp:posOffset>-699770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C177C2" w14:textId="73308765" w:rsidR="00263732" w:rsidRPr="00263732" w:rsidRDefault="00263732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 w:rsidR="00D3534C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197F3E18" w14:textId="77777777" w:rsidR="00343064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744217AF" w14:textId="30DB13DE" w:rsidR="00263732" w:rsidRPr="00263732" w:rsidRDefault="00343064" w:rsidP="00FE5C5A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06CAE787" id="_x0000_s1027" type="#_x0000_t202" style="position:absolute;margin-left:-41.55pt;margin-top:-55.1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" filled="f" stroked="f">
              <v:textbox style="mso-fit-shape-to-text:t">
                <w:txbxContent>
                  <w:p w14:paraId="42C177C2" w14:textId="73308765" w:rsidR="00263732" w:rsidRPr="00263732" w:rsidRDefault="00263732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 w:rsidR="00D3534C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197F3E18" w14:textId="77777777" w:rsidR="00343064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744217AF" w14:textId="30DB13DE" w:rsidR="00263732" w:rsidRPr="00263732" w:rsidRDefault="00343064" w:rsidP="00FE5C5A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</w:t>
                    </w:r>
                    <w:proofErr w:type="spellStart"/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cgeam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F94EB2" w:rsidRPr="000B6457">
      <w:rPr>
        <w:rFonts w:ascii="Montserrat" w:hAnsi="Montserrat"/>
        <w:caps/>
        <w:color w:val="4F81BD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5FBC" w14:textId="77777777" w:rsidR="004A608E" w:rsidRDefault="004A6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AD58" w14:textId="77777777" w:rsidR="00C07D39" w:rsidRDefault="00C07D39" w:rsidP="00F94EB2">
      <w:pPr>
        <w:spacing w:after="0" w:line="240" w:lineRule="auto"/>
      </w:pPr>
      <w:r>
        <w:separator/>
      </w:r>
    </w:p>
  </w:footnote>
  <w:footnote w:type="continuationSeparator" w:id="0">
    <w:p w14:paraId="3E8080E8" w14:textId="77777777" w:rsidR="00C07D39" w:rsidRDefault="00C07D39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3AA3" w14:textId="77777777" w:rsidR="004A608E" w:rsidRDefault="004A60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AD1" w14:textId="7C9ACC86" w:rsidR="00F94EB2" w:rsidRDefault="00F94E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8994243" wp14:editId="4376790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351" cy="10675088"/>
          <wp:effectExtent l="0" t="0" r="0" b="0"/>
          <wp:wrapNone/>
          <wp:docPr id="207" name="Imagem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51" cy="10675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0D64" w14:textId="77777777" w:rsidR="004A608E" w:rsidRDefault="004A60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75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44981"/>
    <w:rsid w:val="000B3187"/>
    <w:rsid w:val="000B6457"/>
    <w:rsid w:val="00115263"/>
    <w:rsid w:val="00122561"/>
    <w:rsid w:val="001D2B26"/>
    <w:rsid w:val="001E2128"/>
    <w:rsid w:val="00207321"/>
    <w:rsid w:val="00230602"/>
    <w:rsid w:val="00263732"/>
    <w:rsid w:val="002663C6"/>
    <w:rsid w:val="00314523"/>
    <w:rsid w:val="00341535"/>
    <w:rsid w:val="00343064"/>
    <w:rsid w:val="00367996"/>
    <w:rsid w:val="0037268A"/>
    <w:rsid w:val="00375445"/>
    <w:rsid w:val="00386961"/>
    <w:rsid w:val="003B209A"/>
    <w:rsid w:val="003B336B"/>
    <w:rsid w:val="003C1031"/>
    <w:rsid w:val="003C16D1"/>
    <w:rsid w:val="00412BF4"/>
    <w:rsid w:val="00424583"/>
    <w:rsid w:val="0044296F"/>
    <w:rsid w:val="00450730"/>
    <w:rsid w:val="004671FA"/>
    <w:rsid w:val="00480F68"/>
    <w:rsid w:val="004A2209"/>
    <w:rsid w:val="004A608E"/>
    <w:rsid w:val="004B7B37"/>
    <w:rsid w:val="004D2DC3"/>
    <w:rsid w:val="004D51D3"/>
    <w:rsid w:val="004F0913"/>
    <w:rsid w:val="0052702D"/>
    <w:rsid w:val="00560D28"/>
    <w:rsid w:val="00570B08"/>
    <w:rsid w:val="00573F73"/>
    <w:rsid w:val="005E3F2D"/>
    <w:rsid w:val="005E66A9"/>
    <w:rsid w:val="0065011E"/>
    <w:rsid w:val="006822C2"/>
    <w:rsid w:val="0069636C"/>
    <w:rsid w:val="006A7B1C"/>
    <w:rsid w:val="006B1E31"/>
    <w:rsid w:val="007019B7"/>
    <w:rsid w:val="00755B02"/>
    <w:rsid w:val="007576FA"/>
    <w:rsid w:val="00781BA9"/>
    <w:rsid w:val="0078662C"/>
    <w:rsid w:val="00790608"/>
    <w:rsid w:val="00793544"/>
    <w:rsid w:val="007E2C4C"/>
    <w:rsid w:val="007E36FF"/>
    <w:rsid w:val="008043E2"/>
    <w:rsid w:val="008053D2"/>
    <w:rsid w:val="008665D5"/>
    <w:rsid w:val="00875666"/>
    <w:rsid w:val="00895CDD"/>
    <w:rsid w:val="008A4DA7"/>
    <w:rsid w:val="008D13D6"/>
    <w:rsid w:val="00946BCB"/>
    <w:rsid w:val="00946F2F"/>
    <w:rsid w:val="009638A4"/>
    <w:rsid w:val="00974E27"/>
    <w:rsid w:val="00992103"/>
    <w:rsid w:val="009A4D09"/>
    <w:rsid w:val="009A527D"/>
    <w:rsid w:val="00A169CD"/>
    <w:rsid w:val="00A8059D"/>
    <w:rsid w:val="00AC442B"/>
    <w:rsid w:val="00AE2420"/>
    <w:rsid w:val="00AF305B"/>
    <w:rsid w:val="00AF3D73"/>
    <w:rsid w:val="00B16268"/>
    <w:rsid w:val="00B62184"/>
    <w:rsid w:val="00B8419D"/>
    <w:rsid w:val="00B96D61"/>
    <w:rsid w:val="00BA0CD4"/>
    <w:rsid w:val="00BB1121"/>
    <w:rsid w:val="00BC2B33"/>
    <w:rsid w:val="00BE1B85"/>
    <w:rsid w:val="00C056F0"/>
    <w:rsid w:val="00C07D39"/>
    <w:rsid w:val="00C640CB"/>
    <w:rsid w:val="00C919E3"/>
    <w:rsid w:val="00CB687A"/>
    <w:rsid w:val="00CC6150"/>
    <w:rsid w:val="00CD08D7"/>
    <w:rsid w:val="00CD3C85"/>
    <w:rsid w:val="00CE5480"/>
    <w:rsid w:val="00CF0486"/>
    <w:rsid w:val="00D20013"/>
    <w:rsid w:val="00D3534C"/>
    <w:rsid w:val="00DB78CC"/>
    <w:rsid w:val="00DD2EFA"/>
    <w:rsid w:val="00DF139A"/>
    <w:rsid w:val="00E41771"/>
    <w:rsid w:val="00E51981"/>
    <w:rsid w:val="00E6051F"/>
    <w:rsid w:val="00E73B9F"/>
    <w:rsid w:val="00E81393"/>
    <w:rsid w:val="00EC35E0"/>
    <w:rsid w:val="00ED37BE"/>
    <w:rsid w:val="00F30CEA"/>
    <w:rsid w:val="00F557F3"/>
    <w:rsid w:val="00F821F6"/>
    <w:rsid w:val="00F94EB2"/>
    <w:rsid w:val="00FB3AFF"/>
    <w:rsid w:val="00FC33A4"/>
    <w:rsid w:val="00FC7C57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1"/>
    <w:qFormat/>
    <w:rsid w:val="0026373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D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044981"/>
    <w:rPr>
      <w:i/>
      <w:iCs/>
    </w:rPr>
  </w:style>
  <w:style w:type="character" w:styleId="Forte">
    <w:name w:val="Strong"/>
    <w:basedOn w:val="Fontepargpadro"/>
    <w:uiPriority w:val="22"/>
    <w:qFormat/>
    <w:rsid w:val="00044981"/>
    <w:rPr>
      <w:b/>
      <w:bCs/>
    </w:rPr>
  </w:style>
  <w:style w:type="character" w:styleId="Hyperlink">
    <w:name w:val="Hyperlink"/>
    <w:basedOn w:val="Fontepargpadro"/>
    <w:uiPriority w:val="99"/>
    <w:unhideWhenUsed/>
    <w:rsid w:val="0044296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96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8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4">
    <w:name w:val="List Table 3 Accent 4"/>
    <w:basedOn w:val="Tabelanormal"/>
    <w:uiPriority w:val="48"/>
    <w:rsid w:val="006B1E3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Reviso">
    <w:name w:val="Revision"/>
    <w:hidden/>
    <w:uiPriority w:val="99"/>
    <w:semiHidden/>
    <w:rsid w:val="00696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9773-6506-49A5-B0C0-58C6F9B6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Adriana Dias</cp:lastModifiedBy>
  <cp:revision>2</cp:revision>
  <cp:lastPrinted>2023-05-09T20:59:00Z</cp:lastPrinted>
  <dcterms:created xsi:type="dcterms:W3CDTF">2023-06-29T14:25:00Z</dcterms:created>
  <dcterms:modified xsi:type="dcterms:W3CDTF">2023-06-29T14:25:00Z</dcterms:modified>
</cp:coreProperties>
</file>