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FFC1" w14:textId="712CD4A4" w:rsidR="009121A3" w:rsidRPr="008721A8" w:rsidRDefault="009121A3" w:rsidP="00331F69">
      <w:pPr>
        <w:jc w:val="center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Mapeamento de Riscos à Integridade e Controles Internos</w:t>
      </w:r>
    </w:p>
    <w:p w14:paraId="55BB4B81" w14:textId="77777777" w:rsidR="009121A3" w:rsidRDefault="009121A3" w:rsidP="009121A3">
      <w:pPr>
        <w:jc w:val="center"/>
      </w:pPr>
    </w:p>
    <w:tbl>
      <w:tblPr>
        <w:tblStyle w:val="Tabelacomgrade"/>
        <w:tblW w:w="14442" w:type="dxa"/>
        <w:tblLook w:val="04A0" w:firstRow="1" w:lastRow="0" w:firstColumn="1" w:lastColumn="0" w:noHBand="0" w:noVBand="1"/>
      </w:tblPr>
      <w:tblGrid>
        <w:gridCol w:w="1057"/>
        <w:gridCol w:w="2289"/>
        <w:gridCol w:w="1931"/>
        <w:gridCol w:w="2211"/>
        <w:gridCol w:w="412"/>
        <w:gridCol w:w="339"/>
        <w:gridCol w:w="519"/>
        <w:gridCol w:w="2534"/>
        <w:gridCol w:w="845"/>
        <w:gridCol w:w="638"/>
        <w:gridCol w:w="1660"/>
        <w:gridCol w:w="7"/>
      </w:tblGrid>
      <w:tr w:rsidR="00331F69" w14:paraId="2DC124A0" w14:textId="47085C1F" w:rsidTr="008F26EC">
        <w:trPr>
          <w:trHeight w:val="20"/>
        </w:trPr>
        <w:tc>
          <w:tcPr>
            <w:tcW w:w="7481" w:type="dxa"/>
            <w:gridSpan w:val="4"/>
            <w:shd w:val="clear" w:color="auto" w:fill="EEEEEE"/>
            <w:vAlign w:val="center"/>
          </w:tcPr>
          <w:p w14:paraId="1133A880" w14:textId="12DA8FB8" w:rsidR="00331F69" w:rsidRPr="0053383E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Identificação</w:t>
            </w:r>
          </w:p>
        </w:tc>
        <w:tc>
          <w:tcPr>
            <w:tcW w:w="1320" w:type="dxa"/>
            <w:gridSpan w:val="3"/>
            <w:shd w:val="clear" w:color="auto" w:fill="EEEEEE"/>
          </w:tcPr>
          <w:p w14:paraId="4D99EDD6" w14:textId="3F8DC741" w:rsidR="00331F69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5641" w:type="dxa"/>
            <w:gridSpan w:val="5"/>
            <w:shd w:val="clear" w:color="auto" w:fill="EEEEEE"/>
            <w:vAlign w:val="center"/>
          </w:tcPr>
          <w:p w14:paraId="26C2FDD6" w14:textId="67DA7816" w:rsidR="00331F69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Plano de Ação</w:t>
            </w:r>
          </w:p>
        </w:tc>
      </w:tr>
      <w:tr w:rsidR="00331F69" w14:paraId="0AA29EA6" w14:textId="2190B5CA" w:rsidTr="008F26EC">
        <w:trPr>
          <w:gridAfter w:val="1"/>
          <w:wAfter w:w="7" w:type="dxa"/>
          <w:trHeight w:val="20"/>
        </w:trPr>
        <w:tc>
          <w:tcPr>
            <w:tcW w:w="0" w:type="auto"/>
            <w:shd w:val="clear" w:color="auto" w:fill="EEEEEE"/>
            <w:vAlign w:val="center"/>
          </w:tcPr>
          <w:p w14:paraId="0D4C7D24" w14:textId="41BF2C25" w:rsidR="00331F69" w:rsidRPr="0053383E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A69896C" w14:textId="77777777" w:rsidR="00331F69" w:rsidRPr="0053383E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83E"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Causa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DC9C8AE" w14:textId="77777777" w:rsidR="00331F69" w:rsidRPr="0053383E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83E"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Evento de Risco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12489E3" w14:textId="5D6D558E" w:rsidR="00331F69" w:rsidRPr="0053383E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Consequências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2C60C48" w14:textId="4AA0C642" w:rsidR="00331F69" w:rsidRDefault="00331F69" w:rsidP="00FC2696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611B742" w14:textId="14E2B02A" w:rsidR="00331F69" w:rsidRDefault="00331F69" w:rsidP="00FC2696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87B6D34" w14:textId="5689BEA1" w:rsidR="00331F69" w:rsidRDefault="00331F69" w:rsidP="00FC2696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534" w:type="dxa"/>
            <w:shd w:val="clear" w:color="auto" w:fill="EEEEEE"/>
            <w:vAlign w:val="center"/>
          </w:tcPr>
          <w:p w14:paraId="544F8B5F" w14:textId="433DDA9B" w:rsidR="00331F69" w:rsidRPr="0053383E" w:rsidRDefault="00331F69" w:rsidP="00331F69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Controles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3DAA273" w14:textId="3F8BACC6" w:rsidR="00331F69" w:rsidRDefault="00331F69" w:rsidP="00FC2696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Início</w:t>
            </w:r>
          </w:p>
        </w:tc>
        <w:tc>
          <w:tcPr>
            <w:tcW w:w="605" w:type="dxa"/>
            <w:shd w:val="clear" w:color="auto" w:fill="EEEEEE"/>
            <w:vAlign w:val="center"/>
          </w:tcPr>
          <w:p w14:paraId="466F72F8" w14:textId="6C6FFEC5" w:rsidR="00331F69" w:rsidRDefault="00331F69" w:rsidP="00FC2696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Fim</w:t>
            </w:r>
          </w:p>
        </w:tc>
        <w:tc>
          <w:tcPr>
            <w:tcW w:w="1660" w:type="dxa"/>
            <w:shd w:val="clear" w:color="auto" w:fill="EEEEEE"/>
            <w:vAlign w:val="center"/>
          </w:tcPr>
          <w:p w14:paraId="479ABEF4" w14:textId="1F8DB96A" w:rsidR="00331F69" w:rsidRDefault="00331F69" w:rsidP="00FC2696">
            <w:pPr>
              <w:tabs>
                <w:tab w:val="left" w:pos="1134"/>
              </w:tabs>
              <w:spacing w:line="276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</w:tr>
      <w:tr w:rsidR="00331F69" w14:paraId="4D831478" w14:textId="169C75CD" w:rsidTr="008F26EC">
        <w:trPr>
          <w:gridAfter w:val="1"/>
          <w:wAfter w:w="7" w:type="dxa"/>
          <w:trHeight w:val="1115"/>
        </w:trPr>
        <w:tc>
          <w:tcPr>
            <w:tcW w:w="0" w:type="auto"/>
          </w:tcPr>
          <w:p w14:paraId="1BACF656" w14:textId="6081BA1A" w:rsidR="00331F69" w:rsidRPr="0053383E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  <w:r w:rsidRPr="0053383E">
              <w:rPr>
                <w:rFonts w:ascii="Geomanist" w:hAnsi="Geomanist" w:cs="Times New Roman"/>
                <w:color w:val="000000" w:themeColor="text1"/>
              </w:rPr>
              <w:t>Pessoal</w:t>
            </w:r>
          </w:p>
          <w:p w14:paraId="2BD3F32E" w14:textId="649919DA" w:rsidR="00331F69" w:rsidRPr="0053383E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D250000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a) a</w:t>
            </w:r>
            <w:r w:rsidRPr="0053383E">
              <w:rPr>
                <w:rFonts w:ascii="Geomanist" w:hAnsi="Geomanist"/>
              </w:rPr>
              <w:t>usência de ferramentas capazes de identificar o nepotismo no momento da abertura do processo de nomeação</w:t>
            </w:r>
            <w:r>
              <w:rPr>
                <w:rFonts w:ascii="Geomanist" w:hAnsi="Geomanist"/>
              </w:rPr>
              <w:t xml:space="preserve"> </w:t>
            </w:r>
            <w:r w:rsidRPr="0053383E">
              <w:rPr>
                <w:rFonts w:ascii="Geomanist" w:hAnsi="Geomanist"/>
              </w:rPr>
              <w:t>/</w:t>
            </w:r>
            <w:r>
              <w:rPr>
                <w:rFonts w:ascii="Geomanist" w:hAnsi="Geomanist"/>
              </w:rPr>
              <w:t xml:space="preserve"> </w:t>
            </w:r>
            <w:r w:rsidRPr="0053383E">
              <w:rPr>
                <w:rFonts w:ascii="Geomanist" w:hAnsi="Geomanist"/>
              </w:rPr>
              <w:t>designação de cargos e funções</w:t>
            </w:r>
            <w:r>
              <w:rPr>
                <w:rFonts w:ascii="Geomanist" w:hAnsi="Geomanist"/>
              </w:rPr>
              <w:t>;</w:t>
            </w:r>
          </w:p>
          <w:p w14:paraId="0F7E0D78" w14:textId="77777777" w:rsidR="00331F69" w:rsidRPr="0053383E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  <w:r>
              <w:rPr>
                <w:rFonts w:ascii="Geomanist" w:hAnsi="Geomanist"/>
              </w:rPr>
              <w:t>b) d</w:t>
            </w:r>
            <w:r w:rsidRPr="0053383E">
              <w:rPr>
                <w:rFonts w:ascii="Geomanist" w:hAnsi="Geomanist"/>
              </w:rPr>
              <w:t>esconhecimento da legislação envolvida</w:t>
            </w:r>
            <w:r>
              <w:rPr>
                <w:rFonts w:ascii="Geomanist" w:hAnsi="Geomanist"/>
              </w:rPr>
              <w:t>.</w:t>
            </w:r>
          </w:p>
        </w:tc>
        <w:tc>
          <w:tcPr>
            <w:tcW w:w="0" w:type="auto"/>
          </w:tcPr>
          <w:p w14:paraId="71D765AB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  <w:r w:rsidRPr="00331F69">
              <w:rPr>
                <w:rFonts w:ascii="Geomanist" w:hAnsi="Geomanist"/>
              </w:rPr>
              <w:t>Nomeação ou designação de familiar (enquadrado nos casos de nepotismo)</w:t>
            </w:r>
          </w:p>
        </w:tc>
        <w:tc>
          <w:tcPr>
            <w:tcW w:w="0" w:type="auto"/>
          </w:tcPr>
          <w:p w14:paraId="6F645059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a) f</w:t>
            </w:r>
            <w:r w:rsidRPr="0053383E">
              <w:rPr>
                <w:rFonts w:ascii="Geomanist" w:hAnsi="Geomanist"/>
              </w:rPr>
              <w:t>avorecimento do abuso de posição ou poder em prol de interesses privados</w:t>
            </w:r>
            <w:r>
              <w:rPr>
                <w:rFonts w:ascii="Geomanist" w:hAnsi="Geomanist"/>
              </w:rPr>
              <w:t>;</w:t>
            </w:r>
          </w:p>
          <w:p w14:paraId="766B50A7" w14:textId="77777777" w:rsidR="00331F69" w:rsidRPr="0053383E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  <w:r>
              <w:rPr>
                <w:rFonts w:ascii="Geomanist" w:hAnsi="Geomanist"/>
              </w:rPr>
              <w:t>b) v</w:t>
            </w:r>
            <w:r w:rsidRPr="0053383E">
              <w:rPr>
                <w:rFonts w:ascii="Geomanist" w:hAnsi="Geomanist"/>
              </w:rPr>
              <w:t xml:space="preserve">iolação aos princípios da Administração Pública, como a moralidade, impessoalidade e eficiência. </w:t>
            </w:r>
          </w:p>
        </w:tc>
        <w:tc>
          <w:tcPr>
            <w:tcW w:w="0" w:type="auto"/>
          </w:tcPr>
          <w:p w14:paraId="59B63514" w14:textId="77777777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0" w:type="auto"/>
          </w:tcPr>
          <w:p w14:paraId="18D01E6E" w14:textId="52D1E7CB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0" w:type="auto"/>
          </w:tcPr>
          <w:p w14:paraId="1837BC19" w14:textId="50B05C42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2534" w:type="dxa"/>
          </w:tcPr>
          <w:p w14:paraId="7FC44B4F" w14:textId="02191B44" w:rsidR="00331F69" w:rsidRPr="009121A3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8F26EC">
              <w:rPr>
                <w:rFonts w:ascii="Geomanist" w:hAnsi="Geomanist"/>
              </w:rPr>
              <w:t>a)</w:t>
            </w:r>
            <w:r w:rsidRPr="009121A3">
              <w:rPr>
                <w:rFonts w:ascii="Geomanist" w:hAnsi="Geomanist"/>
              </w:rPr>
              <w:t xml:space="preserve"> elaboração de normativo, definindo as regras sobre nepotismo;</w:t>
            </w:r>
          </w:p>
          <w:p w14:paraId="288A12D5" w14:textId="77777777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9121A3">
              <w:rPr>
                <w:rFonts w:ascii="Geomanist" w:hAnsi="Geomanist"/>
              </w:rPr>
              <w:t>b) desenvolvimento de</w:t>
            </w:r>
            <w:r>
              <w:rPr>
                <w:rFonts w:ascii="Geomanist" w:hAnsi="Geomanist"/>
                <w:b/>
                <w:bCs/>
              </w:rPr>
              <w:t xml:space="preserve"> </w:t>
            </w:r>
            <w:r w:rsidRPr="0053383E">
              <w:rPr>
                <w:rFonts w:ascii="Geomanist" w:hAnsi="Geomanist"/>
              </w:rPr>
              <w:t>ferramentas capazes de identificar o nepotismo no momento da abertura do processo de nomeação</w:t>
            </w:r>
            <w:r>
              <w:rPr>
                <w:rFonts w:ascii="Geomanist" w:hAnsi="Geomanist"/>
              </w:rPr>
              <w:t xml:space="preserve"> </w:t>
            </w:r>
            <w:r w:rsidRPr="0053383E">
              <w:rPr>
                <w:rFonts w:ascii="Geomanist" w:hAnsi="Geomanist"/>
              </w:rPr>
              <w:t>/</w:t>
            </w:r>
            <w:r>
              <w:rPr>
                <w:rFonts w:ascii="Geomanist" w:hAnsi="Geomanist"/>
              </w:rPr>
              <w:t xml:space="preserve"> </w:t>
            </w:r>
            <w:r w:rsidRPr="0053383E">
              <w:rPr>
                <w:rFonts w:ascii="Geomanist" w:hAnsi="Geomanist"/>
              </w:rPr>
              <w:t>designação de cargos e funções</w:t>
            </w:r>
          </w:p>
          <w:p w14:paraId="5401360B" w14:textId="77777777" w:rsidR="00331F69" w:rsidRPr="008721A8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  <w:r>
              <w:rPr>
                <w:rFonts w:ascii="Geomanist" w:hAnsi="Geomanist"/>
              </w:rPr>
              <w:t xml:space="preserve">c) promover treinamento dos servidores sobre a </w:t>
            </w:r>
            <w:r w:rsidRPr="0053383E">
              <w:rPr>
                <w:rFonts w:ascii="Geomanist" w:hAnsi="Geomanist"/>
              </w:rPr>
              <w:t>legislação</w:t>
            </w:r>
            <w:r>
              <w:rPr>
                <w:rFonts w:ascii="Geomanist" w:hAnsi="Geomanist"/>
              </w:rPr>
              <w:t xml:space="preserve"> aplicada a casos de nepotismo. </w:t>
            </w:r>
          </w:p>
        </w:tc>
        <w:tc>
          <w:tcPr>
            <w:tcW w:w="0" w:type="auto"/>
          </w:tcPr>
          <w:p w14:paraId="0AE36D08" w14:textId="77777777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605" w:type="dxa"/>
          </w:tcPr>
          <w:p w14:paraId="0D66A541" w14:textId="77777777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1660" w:type="dxa"/>
          </w:tcPr>
          <w:p w14:paraId="0B60072D" w14:textId="77777777" w:rsidR="00331F69" w:rsidRDefault="00331F69" w:rsidP="00331F69">
            <w:pPr>
              <w:tabs>
                <w:tab w:val="left" w:pos="463"/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</w:tr>
      <w:tr w:rsidR="00331F69" w14:paraId="006B0256" w14:textId="7E000AAF" w:rsidTr="008F26EC">
        <w:trPr>
          <w:gridAfter w:val="1"/>
          <w:wAfter w:w="7" w:type="dxa"/>
        </w:trPr>
        <w:tc>
          <w:tcPr>
            <w:tcW w:w="0" w:type="auto"/>
          </w:tcPr>
          <w:p w14:paraId="38B51C95" w14:textId="11F2CA0D" w:rsidR="00331F69" w:rsidRPr="0053383E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  <w:r>
              <w:rPr>
                <w:rFonts w:ascii="Geomanist" w:hAnsi="Geomanist" w:cs="Times New Roman"/>
                <w:color w:val="000000" w:themeColor="text1"/>
              </w:rPr>
              <w:lastRenderedPageBreak/>
              <w:t>Licitação</w:t>
            </w:r>
          </w:p>
          <w:p w14:paraId="2D2D10D1" w14:textId="3EF68255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4EAFED6" w14:textId="77777777" w:rsidR="00331F69" w:rsidRPr="00A530A8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a) e</w:t>
            </w:r>
            <w:r w:rsidRPr="00A530A8">
              <w:rPr>
                <w:rFonts w:ascii="Geomanist" w:hAnsi="Geomanist"/>
              </w:rPr>
              <w:t>xcesso de especificidade e, de exigências técnicas e documentos de habilitação direcionados a uma empresa em particular</w:t>
            </w:r>
            <w:r>
              <w:rPr>
                <w:rFonts w:ascii="Geomanist" w:hAnsi="Geomanist"/>
              </w:rPr>
              <w:t>.</w:t>
            </w:r>
          </w:p>
        </w:tc>
        <w:tc>
          <w:tcPr>
            <w:tcW w:w="0" w:type="auto"/>
          </w:tcPr>
          <w:p w14:paraId="363F3A93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Contratação sem competitividade e sem isonomia entre possíveis licitantes</w:t>
            </w:r>
          </w:p>
        </w:tc>
        <w:tc>
          <w:tcPr>
            <w:tcW w:w="0" w:type="auto"/>
          </w:tcPr>
          <w:p w14:paraId="32B6E348" w14:textId="77777777" w:rsidR="00331F69" w:rsidRPr="00331F69" w:rsidRDefault="00331F69" w:rsidP="00331F69">
            <w:pPr>
              <w:pStyle w:val="PargrafodaLista"/>
              <w:numPr>
                <w:ilvl w:val="0"/>
                <w:numId w:val="1"/>
              </w:numPr>
              <w:tabs>
                <w:tab w:val="left" w:pos="1134"/>
              </w:tabs>
              <w:spacing w:before="120" w:after="120" w:line="276" w:lineRule="auto"/>
              <w:ind w:left="295" w:hanging="284"/>
              <w:contextualSpacing w:val="0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contratação antieconômica;</w:t>
            </w:r>
          </w:p>
          <w:p w14:paraId="2D3A1EBE" w14:textId="77777777" w:rsidR="00331F69" w:rsidRPr="00331F69" w:rsidRDefault="00331F69" w:rsidP="00331F69">
            <w:pPr>
              <w:pStyle w:val="PargrafodaLista"/>
              <w:numPr>
                <w:ilvl w:val="0"/>
                <w:numId w:val="1"/>
              </w:numPr>
              <w:tabs>
                <w:tab w:val="left" w:pos="1134"/>
              </w:tabs>
              <w:spacing w:before="120" w:after="120" w:line="276" w:lineRule="auto"/>
              <w:ind w:left="295" w:hanging="284"/>
              <w:contextualSpacing w:val="0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favorecimento de um particular</w:t>
            </w:r>
          </w:p>
        </w:tc>
        <w:tc>
          <w:tcPr>
            <w:tcW w:w="0" w:type="auto"/>
          </w:tcPr>
          <w:p w14:paraId="4E2A4216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0" w:type="auto"/>
          </w:tcPr>
          <w:p w14:paraId="4E44CF97" w14:textId="3E1F3468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0" w:type="auto"/>
          </w:tcPr>
          <w:p w14:paraId="50E681FB" w14:textId="032C1C42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2534" w:type="dxa"/>
          </w:tcPr>
          <w:p w14:paraId="6763B09F" w14:textId="2D37CDFF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a) elaboração de modelos de termos de referências.</w:t>
            </w:r>
          </w:p>
          <w:p w14:paraId="767BA4B7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b) definição de critérios/exigências técnicas básicas com vistas a garantir a competitividade dos certames.</w:t>
            </w:r>
          </w:p>
        </w:tc>
        <w:tc>
          <w:tcPr>
            <w:tcW w:w="0" w:type="auto"/>
          </w:tcPr>
          <w:p w14:paraId="452D9198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605" w:type="dxa"/>
          </w:tcPr>
          <w:p w14:paraId="3256FC25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1660" w:type="dxa"/>
          </w:tcPr>
          <w:p w14:paraId="62A6C466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</w:tr>
      <w:tr w:rsidR="00331F69" w14:paraId="26273C06" w14:textId="32C95B64" w:rsidTr="008F26EC">
        <w:trPr>
          <w:gridAfter w:val="1"/>
          <w:wAfter w:w="7" w:type="dxa"/>
        </w:trPr>
        <w:tc>
          <w:tcPr>
            <w:tcW w:w="0" w:type="auto"/>
          </w:tcPr>
          <w:p w14:paraId="2445487A" w14:textId="29E158C9" w:rsidR="00331F69" w:rsidRPr="0053383E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</w:rPr>
            </w:pPr>
            <w:r>
              <w:rPr>
                <w:rFonts w:ascii="Geomanist" w:hAnsi="Geomanist" w:cs="Times New Roman"/>
                <w:color w:val="000000" w:themeColor="text1"/>
              </w:rPr>
              <w:t>Licitação</w:t>
            </w:r>
          </w:p>
          <w:p w14:paraId="19813095" w14:textId="5FE6874C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196C7" w14:textId="77777777" w:rsidR="00331F69" w:rsidRPr="00F7365D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F7365D">
              <w:rPr>
                <w:rFonts w:ascii="Geomanist" w:hAnsi="Geomanist"/>
              </w:rPr>
              <w:t>Superestimativa do valor da contratação</w:t>
            </w:r>
            <w:r>
              <w:rPr>
                <w:rFonts w:ascii="Geomanist" w:hAnsi="Geomanist"/>
              </w:rPr>
              <w:t>.</w:t>
            </w:r>
          </w:p>
        </w:tc>
        <w:tc>
          <w:tcPr>
            <w:tcW w:w="0" w:type="auto"/>
          </w:tcPr>
          <w:p w14:paraId="6572112E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Contratação muito acima do valor de mercado</w:t>
            </w:r>
          </w:p>
          <w:p w14:paraId="6409F716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0" w:type="auto"/>
          </w:tcPr>
          <w:p w14:paraId="6D58FDFA" w14:textId="325380C9" w:rsidR="00331F69" w:rsidRPr="008F26EC" w:rsidRDefault="00331F69" w:rsidP="008F26EC">
            <w:pPr>
              <w:pStyle w:val="PargrafodaLista"/>
              <w:numPr>
                <w:ilvl w:val="0"/>
                <w:numId w:val="2"/>
              </w:numPr>
              <w:tabs>
                <w:tab w:val="left" w:pos="370"/>
              </w:tabs>
              <w:spacing w:before="120" w:after="120" w:line="276" w:lineRule="auto"/>
              <w:ind w:left="0" w:hanging="27"/>
              <w:jc w:val="both"/>
              <w:rPr>
                <w:rFonts w:ascii="Geomanist" w:hAnsi="Geomanist"/>
              </w:rPr>
            </w:pPr>
            <w:r w:rsidRPr="008F26EC">
              <w:rPr>
                <w:rFonts w:ascii="Geomanist" w:hAnsi="Geomanist"/>
              </w:rPr>
              <w:t>Contratação antieconômica.</w:t>
            </w:r>
          </w:p>
        </w:tc>
        <w:tc>
          <w:tcPr>
            <w:tcW w:w="0" w:type="auto"/>
          </w:tcPr>
          <w:p w14:paraId="2710CD4D" w14:textId="77777777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0" w:type="auto"/>
          </w:tcPr>
          <w:p w14:paraId="6E39C03D" w14:textId="46362AB2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0" w:type="auto"/>
          </w:tcPr>
          <w:p w14:paraId="6EDA3298" w14:textId="40DCB5DD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</w:p>
        </w:tc>
        <w:tc>
          <w:tcPr>
            <w:tcW w:w="2534" w:type="dxa"/>
          </w:tcPr>
          <w:p w14:paraId="47843CA8" w14:textId="36156BED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a) definir padrões de projetos básicos dos procedimentos licitatórios, com vistas à adequada estimativa de contratação.</w:t>
            </w:r>
          </w:p>
          <w:p w14:paraId="3717C682" w14:textId="1494F3EF" w:rsidR="00331F69" w:rsidRP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</w:rPr>
            </w:pPr>
            <w:r w:rsidRPr="00331F69">
              <w:rPr>
                <w:rFonts w:ascii="Geomanist" w:hAnsi="Geomanist"/>
              </w:rPr>
              <w:t>b) estabelecer os mecanismos e fontes de pesquisa para a definição dos valores dos</w:t>
            </w:r>
            <w:r w:rsidR="008F26EC">
              <w:rPr>
                <w:rFonts w:ascii="Geomanist" w:hAnsi="Geomanist"/>
              </w:rPr>
              <w:t xml:space="preserve"> </w:t>
            </w:r>
            <w:r w:rsidRPr="00331F69">
              <w:rPr>
                <w:rFonts w:ascii="Geomanist" w:hAnsi="Geomanist"/>
              </w:rPr>
              <w:t xml:space="preserve">produtos/serviços a serem contratados. </w:t>
            </w:r>
          </w:p>
        </w:tc>
        <w:tc>
          <w:tcPr>
            <w:tcW w:w="0" w:type="auto"/>
          </w:tcPr>
          <w:p w14:paraId="650803A1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605" w:type="dxa"/>
          </w:tcPr>
          <w:p w14:paraId="6D36332C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  <w:tc>
          <w:tcPr>
            <w:tcW w:w="1660" w:type="dxa"/>
          </w:tcPr>
          <w:p w14:paraId="71C3D91A" w14:textId="77777777" w:rsidR="00331F69" w:rsidRDefault="00331F69" w:rsidP="00331F69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Geomanist" w:hAnsi="Geomanist"/>
                <w:b/>
                <w:bCs/>
              </w:rPr>
            </w:pPr>
          </w:p>
        </w:tc>
      </w:tr>
    </w:tbl>
    <w:p w14:paraId="4A368101" w14:textId="77777777" w:rsidR="009121A3" w:rsidRDefault="009121A3" w:rsidP="009121A3">
      <w:pPr>
        <w:jc w:val="center"/>
      </w:pPr>
    </w:p>
    <w:p w14:paraId="2DBE1B89" w14:textId="1D0E3255" w:rsidR="001971FC" w:rsidRPr="009121A3" w:rsidRDefault="001971FC" w:rsidP="009121A3"/>
    <w:sectPr w:rsidR="001971FC" w:rsidRPr="009121A3" w:rsidSect="003B4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41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2C03" w14:textId="77777777" w:rsidR="00D01719" w:rsidRDefault="00D01719" w:rsidP="00F87FED">
      <w:pPr>
        <w:spacing w:after="0" w:line="240" w:lineRule="auto"/>
      </w:pPr>
      <w:r>
        <w:separator/>
      </w:r>
    </w:p>
  </w:endnote>
  <w:endnote w:type="continuationSeparator" w:id="0">
    <w:p w14:paraId="7E8D45C1" w14:textId="77777777" w:rsidR="00D01719" w:rsidRDefault="00D01719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288F" w14:textId="77777777" w:rsidR="000D04FD" w:rsidRDefault="000D04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E9D" w14:textId="6C60BDEA" w:rsidR="00F87FED" w:rsidRDefault="00E030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662B710" wp14:editId="5CCE857B">
          <wp:simplePos x="0" y="0"/>
          <wp:positionH relativeFrom="column">
            <wp:posOffset>5538470</wp:posOffset>
          </wp:positionH>
          <wp:positionV relativeFrom="paragraph">
            <wp:posOffset>-290830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B1414E" wp14:editId="66BC99AF">
              <wp:simplePos x="0" y="0"/>
              <wp:positionH relativeFrom="margin">
                <wp:posOffset>3171825</wp:posOffset>
              </wp:positionH>
              <wp:positionV relativeFrom="paragraph">
                <wp:posOffset>-315595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4D761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27578F63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65249910" w14:textId="77777777" w:rsidR="00E0304E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810DB52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49BAB0D4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  <w:p w14:paraId="5B755555" w14:textId="4543C477" w:rsidR="00F87FED" w:rsidRPr="00263732" w:rsidRDefault="00F87FED" w:rsidP="00F87FE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B141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-24.85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" filled="f" stroked="f">
              <v:textbox>
                <w:txbxContent>
                  <w:p w14:paraId="53D4D761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27578F63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65249910" w14:textId="77777777" w:rsidR="00E0304E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810DB52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49BAB0D4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  <w:p w14:paraId="5B755555" w14:textId="4543C477" w:rsidR="00F87FED" w:rsidRPr="00263732" w:rsidRDefault="00F87FED" w:rsidP="00F87FED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0F61744" wp14:editId="5BE7871C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371D3B" wp14:editId="49693507">
              <wp:simplePos x="0" y="0"/>
              <wp:positionH relativeFrom="column">
                <wp:posOffset>904875</wp:posOffset>
              </wp:positionH>
              <wp:positionV relativeFrom="paragraph">
                <wp:posOffset>-313690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4D76" w14:textId="77777777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23706888" w14:textId="77777777" w:rsidR="00E0304E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2A66F9E2" w14:textId="77579412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  <w:p w14:paraId="4FA1F87C" w14:textId="1FE44643" w:rsidR="00F87FED" w:rsidRPr="00263732" w:rsidRDefault="00F87FED" w:rsidP="00F87FED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5C371D3B" id="_x0000_s1027" type="#_x0000_t202" style="position:absolute;margin-left:71.25pt;margin-top:-24.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" filled="f" stroked="f">
              <v:textbox style="mso-fit-shape-to-text:t">
                <w:txbxContent>
                  <w:p w14:paraId="13684D76" w14:textId="77777777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23706888" w14:textId="77777777" w:rsidR="00E0304E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2A66F9E2" w14:textId="77579412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  <w:p w14:paraId="4FA1F87C" w14:textId="1FE44643" w:rsidR="00F87FED" w:rsidRPr="00263732" w:rsidRDefault="00F87FED" w:rsidP="00F87FED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4242A27" wp14:editId="5A72077D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39620C6" wp14:editId="11742805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B730" w14:textId="77777777" w:rsidR="000D04FD" w:rsidRDefault="000D04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AFEB" w14:textId="77777777" w:rsidR="00D01719" w:rsidRDefault="00D01719" w:rsidP="00F87FED">
      <w:pPr>
        <w:spacing w:after="0" w:line="240" w:lineRule="auto"/>
      </w:pPr>
      <w:r>
        <w:separator/>
      </w:r>
    </w:p>
  </w:footnote>
  <w:footnote w:type="continuationSeparator" w:id="0">
    <w:p w14:paraId="1F08760D" w14:textId="77777777" w:rsidR="00D01719" w:rsidRDefault="00D01719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6066" w14:textId="77777777" w:rsidR="000D04FD" w:rsidRDefault="000D04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8F" w14:textId="77777777" w:rsidR="00F87FED" w:rsidRDefault="00A30C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32CADD9B" wp14:editId="2BA4410D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96575" cy="7571473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7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AB41D" w14:textId="77777777" w:rsidR="00F87FED" w:rsidRDefault="00F87F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1E8" w14:textId="77777777" w:rsidR="000D04FD" w:rsidRDefault="000D04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1513"/>
    <w:multiLevelType w:val="hybridMultilevel"/>
    <w:tmpl w:val="C9EC0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C85"/>
    <w:multiLevelType w:val="hybridMultilevel"/>
    <w:tmpl w:val="5718C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8126">
    <w:abstractNumId w:val="1"/>
  </w:num>
  <w:num w:numId="2" w16cid:durableId="181567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D04FD"/>
    <w:rsid w:val="000E10EA"/>
    <w:rsid w:val="0013458B"/>
    <w:rsid w:val="00143F14"/>
    <w:rsid w:val="001479F8"/>
    <w:rsid w:val="00153719"/>
    <w:rsid w:val="00154B6E"/>
    <w:rsid w:val="00163077"/>
    <w:rsid w:val="0017771E"/>
    <w:rsid w:val="001971FC"/>
    <w:rsid w:val="001E06E3"/>
    <w:rsid w:val="00280C14"/>
    <w:rsid w:val="002C370B"/>
    <w:rsid w:val="00331F69"/>
    <w:rsid w:val="00357BFA"/>
    <w:rsid w:val="003B412C"/>
    <w:rsid w:val="003C5101"/>
    <w:rsid w:val="003E4E34"/>
    <w:rsid w:val="003F4F3F"/>
    <w:rsid w:val="00450B78"/>
    <w:rsid w:val="00467605"/>
    <w:rsid w:val="00487E3B"/>
    <w:rsid w:val="00493E18"/>
    <w:rsid w:val="004A15BB"/>
    <w:rsid w:val="004A4967"/>
    <w:rsid w:val="004C0265"/>
    <w:rsid w:val="004E25CF"/>
    <w:rsid w:val="00552450"/>
    <w:rsid w:val="0060640D"/>
    <w:rsid w:val="00650414"/>
    <w:rsid w:val="006636EE"/>
    <w:rsid w:val="00692049"/>
    <w:rsid w:val="006E48F0"/>
    <w:rsid w:val="00775366"/>
    <w:rsid w:val="007914CD"/>
    <w:rsid w:val="00885979"/>
    <w:rsid w:val="008C5CCD"/>
    <w:rsid w:val="008D6E2A"/>
    <w:rsid w:val="008F26EC"/>
    <w:rsid w:val="008F3272"/>
    <w:rsid w:val="008F7E66"/>
    <w:rsid w:val="009121A3"/>
    <w:rsid w:val="00980731"/>
    <w:rsid w:val="00994A7F"/>
    <w:rsid w:val="009B0116"/>
    <w:rsid w:val="009E4E31"/>
    <w:rsid w:val="009F657A"/>
    <w:rsid w:val="00A30C08"/>
    <w:rsid w:val="00A664B8"/>
    <w:rsid w:val="00A67A89"/>
    <w:rsid w:val="00AD3B82"/>
    <w:rsid w:val="00AD5ADF"/>
    <w:rsid w:val="00B62160"/>
    <w:rsid w:val="00B720D0"/>
    <w:rsid w:val="00B96936"/>
    <w:rsid w:val="00BE05C8"/>
    <w:rsid w:val="00C632BF"/>
    <w:rsid w:val="00CC514F"/>
    <w:rsid w:val="00CF5EC1"/>
    <w:rsid w:val="00D01719"/>
    <w:rsid w:val="00D17CD2"/>
    <w:rsid w:val="00D24A35"/>
    <w:rsid w:val="00D93264"/>
    <w:rsid w:val="00DD2025"/>
    <w:rsid w:val="00E0304E"/>
    <w:rsid w:val="00E30EA9"/>
    <w:rsid w:val="00E61BFA"/>
    <w:rsid w:val="00EB2719"/>
    <w:rsid w:val="00F07B7F"/>
    <w:rsid w:val="00F420F0"/>
    <w:rsid w:val="00F6686F"/>
    <w:rsid w:val="00F87FED"/>
    <w:rsid w:val="00FB45E3"/>
    <w:rsid w:val="00FB53E9"/>
    <w:rsid w:val="00FC2696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CC8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table" w:styleId="Tabelacomgrade">
    <w:name w:val="Table Grid"/>
    <w:basedOn w:val="Tabelanormal"/>
    <w:uiPriority w:val="39"/>
    <w:rsid w:val="009121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21A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6B-4C43-46BC-B883-AA357CA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Adriana Dias</cp:lastModifiedBy>
  <cp:revision>2</cp:revision>
  <dcterms:created xsi:type="dcterms:W3CDTF">2023-06-29T14:24:00Z</dcterms:created>
  <dcterms:modified xsi:type="dcterms:W3CDTF">2023-06-29T14:24:00Z</dcterms:modified>
</cp:coreProperties>
</file>